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ind w:firstLine="0" w:firstLineChars="0"/>
        <w:jc w:val="left"/>
        <w:rPr>
          <w:rFonts w:hint="eastAsia" w:ascii="宋体" w:hAnsi="宋体" w:eastAsia="宋体"/>
          <w:b/>
          <w:bCs/>
          <w:lang w:eastAsia="zh-CN"/>
        </w:rPr>
      </w:pPr>
      <w:r>
        <w:rPr>
          <w:rFonts w:hint="eastAsia" w:ascii="宋体" w:hAnsi="宋体" w:eastAsia="宋体"/>
          <w:b/>
          <w:bCs/>
          <w:lang w:eastAsia="zh-CN"/>
        </w:rPr>
        <w:drawing>
          <wp:inline distT="0" distB="0" distL="114300" distR="114300">
            <wp:extent cx="7860030" cy="3407410"/>
            <wp:effectExtent l="0" t="0" r="7620" b="2540"/>
            <wp:docPr id="19" name="图片 1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6003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jc w:val="left"/>
        <w:rPr>
          <w:rFonts w:hint="eastAsia" w:ascii="宋体" w:hAnsi="宋体"/>
          <w:b/>
          <w:bCs/>
        </w:rPr>
      </w:pPr>
    </w:p>
    <w:p>
      <w:pPr>
        <w:pStyle w:val="10"/>
        <w:ind w:firstLine="0" w:firstLineChars="0"/>
        <w:jc w:val="left"/>
        <w:rPr>
          <w:rFonts w:hint="eastAsia" w:ascii="宋体" w:hAnsi="宋体"/>
          <w:b/>
          <w:bCs/>
          <w:sz w:val="36"/>
        </w:rPr>
      </w:pPr>
    </w:p>
    <w:p>
      <w:pPr>
        <w:jc w:val="center"/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 w:ascii="黑体" w:hAnsi="黑体" w:eastAsia="黑体"/>
          <w:b/>
          <w:sz w:val="48"/>
          <w:szCs w:val="48"/>
        </w:rPr>
      </w:pPr>
      <w:r>
        <w:rPr>
          <w:rFonts w:hint="eastAsia"/>
          <w:b/>
          <w:sz w:val="48"/>
          <w:szCs w:val="48"/>
          <w:lang w:eastAsia="zh-CN"/>
        </w:rPr>
        <w:t>远程异地网上开标服务系统使用指南</w:t>
      </w:r>
      <w:r>
        <w:rPr>
          <w:rFonts w:hint="eastAsia"/>
          <w:b/>
          <w:sz w:val="48"/>
          <w:szCs w:val="48"/>
          <w:lang w:eastAsia="zh-CN"/>
        </w:rPr>
        <w:br w:type="textWrapping"/>
      </w:r>
      <w:r>
        <w:rPr>
          <w:rFonts w:hint="eastAsia"/>
          <w:b/>
          <w:sz w:val="48"/>
          <w:szCs w:val="48"/>
          <w:lang w:eastAsia="zh-CN"/>
        </w:rPr>
        <w:t>投标人</w:t>
      </w:r>
    </w:p>
    <w:p>
      <w:pPr>
        <w:pStyle w:val="10"/>
        <w:ind w:firstLine="361"/>
        <w:jc w:val="left"/>
        <w:rPr>
          <w:rFonts w:hint="eastAsia" w:ascii="宋体" w:hAnsi="宋体"/>
          <w:b/>
          <w:bCs/>
        </w:rPr>
      </w:pPr>
    </w:p>
    <w:p>
      <w:pPr>
        <w:pStyle w:val="10"/>
        <w:ind w:firstLine="361"/>
        <w:jc w:val="left"/>
        <w:rPr>
          <w:rFonts w:hint="eastAsia" w:ascii="宋体" w:hAnsi="宋体"/>
          <w:b/>
          <w:bCs/>
        </w:rPr>
      </w:pPr>
    </w:p>
    <w:p>
      <w:pPr>
        <w:pStyle w:val="10"/>
        <w:ind w:firstLine="361"/>
        <w:jc w:val="left"/>
        <w:rPr>
          <w:rFonts w:hint="eastAsia" w:ascii="宋体" w:hAnsi="宋体"/>
          <w:b/>
          <w:bCs/>
        </w:rPr>
      </w:pPr>
    </w:p>
    <w:p>
      <w:pPr>
        <w:pStyle w:val="10"/>
        <w:ind w:firstLine="361"/>
        <w:jc w:val="left"/>
        <w:rPr>
          <w:rFonts w:hint="eastAsia" w:ascii="宋体" w:hAnsi="宋体"/>
          <w:b/>
          <w:bCs/>
        </w:rPr>
      </w:pPr>
    </w:p>
    <w:p>
      <w:pPr>
        <w:pStyle w:val="10"/>
        <w:ind w:firstLine="361"/>
        <w:jc w:val="left"/>
        <w:rPr>
          <w:rFonts w:hint="eastAsia" w:ascii="宋体" w:hAnsi="宋体"/>
          <w:b/>
          <w:bCs/>
        </w:rPr>
      </w:pPr>
    </w:p>
    <w:p>
      <w:pPr>
        <w:pStyle w:val="10"/>
        <w:ind w:firstLine="361"/>
        <w:jc w:val="left"/>
        <w:rPr>
          <w:rFonts w:hint="eastAsia" w:ascii="宋体" w:hAnsi="宋体"/>
          <w:b/>
          <w:bCs/>
        </w:rPr>
      </w:pPr>
    </w:p>
    <w:p>
      <w:pPr>
        <w:jc w:val="center"/>
        <w:rPr>
          <w:rFonts w:hint="default" w:eastAsia="仿宋_GB2312"/>
          <w:b/>
          <w:sz w:val="28"/>
          <w:szCs w:val="28"/>
          <w:shd w:val="pct10" w:color="auto" w:fill="FFFFFF"/>
          <w:lang w:val="en-US" w:eastAsia="zh-CN"/>
        </w:rPr>
      </w:pPr>
      <w:r>
        <w:rPr>
          <w:rFonts w:hint="eastAsia" w:eastAsia="仿宋_GB2312"/>
          <w:b/>
          <w:sz w:val="28"/>
          <w:szCs w:val="28"/>
          <w:shd w:val="pct10" w:color="auto" w:fill="FFFFFF"/>
        </w:rPr>
        <w:t>免费技术支持电话：</w:t>
      </w:r>
      <w:r>
        <w:rPr>
          <w:rFonts w:hint="eastAsia" w:eastAsia="仿宋_GB2312"/>
          <w:b/>
          <w:sz w:val="28"/>
          <w:szCs w:val="28"/>
          <w:shd w:val="pct10" w:color="auto" w:fill="FFFFFF"/>
          <w:lang w:val="en-US" w:eastAsia="zh-CN"/>
        </w:rPr>
        <w:t>400-998-0000</w:t>
      </w:r>
      <w:bookmarkStart w:id="18" w:name="_GoBack"/>
      <w:bookmarkEnd w:id="18"/>
    </w:p>
    <w:p>
      <w:pPr>
        <w:pStyle w:val="10"/>
        <w:ind w:firstLine="0" w:firstLineChars="0"/>
        <w:jc w:val="left"/>
        <w:rPr>
          <w:rFonts w:hint="eastAsia" w:ascii="宋体" w:hAnsi="宋体"/>
          <w:b/>
          <w:bCs/>
        </w:rPr>
      </w:pPr>
    </w:p>
    <w:p>
      <w:pPr>
        <w:pStyle w:val="10"/>
        <w:ind w:firstLine="0" w:firstLineChars="0"/>
        <w:jc w:val="left"/>
        <w:rPr>
          <w:rFonts w:hint="eastAsia" w:ascii="宋体" w:hAnsi="宋体"/>
          <w:b/>
          <w:bCs/>
        </w:rPr>
      </w:pPr>
    </w:p>
    <w:p>
      <w:pPr>
        <w:jc w:val="center"/>
        <w:rPr>
          <w:rFonts w:eastAsia="仿宋_GB2312"/>
          <w:b/>
          <w:sz w:val="28"/>
          <w:szCs w:val="28"/>
          <w:shd w:val="pct10" w:color="auto" w:fill="FFFFFF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rPr>
          <w:rFonts w:ascii="黑体" w:eastAsia="黑体"/>
          <w:sz w:val="44"/>
          <w:szCs w:val="44"/>
        </w:rPr>
      </w:pPr>
    </w:p>
    <w:p>
      <w:pPr>
        <w:pStyle w:val="10"/>
        <w:ind w:firstLine="0" w:firstLineChars="0"/>
        <w:jc w:val="left"/>
        <w:rPr>
          <w:rFonts w:hint="eastAsia" w:ascii="宋体" w:hAnsi="宋体"/>
          <w:b/>
          <w:bCs/>
        </w:rPr>
      </w:pPr>
    </w:p>
    <w:p>
      <w:pPr>
        <w:pStyle w:val="10"/>
        <w:ind w:firstLine="0" w:firstLineChars="0"/>
        <w:jc w:val="left"/>
        <w:rPr>
          <w:rFonts w:hint="eastAsia" w:ascii="宋体" w:hAnsi="宋体"/>
          <w:b/>
          <w:bCs/>
        </w:rPr>
      </w:pPr>
    </w:p>
    <w:p>
      <w:pPr>
        <w:pStyle w:val="10"/>
        <w:ind w:firstLine="0" w:firstLineChars="0"/>
        <w:jc w:val="left"/>
        <w:rPr>
          <w:rFonts w:hint="eastAsia" w:ascii="宋体" w:hAnsi="宋体"/>
        </w:rPr>
      </w:pPr>
    </w:p>
    <w:p>
      <w:pPr>
        <w:pStyle w:val="10"/>
        <w:ind w:firstLine="0" w:firstLineChars="0"/>
        <w:jc w:val="left"/>
        <w:rPr>
          <w:rFonts w:hint="eastAsia" w:ascii="宋体" w:hAnsi="宋体"/>
        </w:rPr>
      </w:pPr>
    </w:p>
    <w:p>
      <w:pPr>
        <w:pStyle w:val="10"/>
        <w:ind w:firstLine="0" w:firstLineChars="0"/>
        <w:jc w:val="left"/>
        <w:rPr>
          <w:rFonts w:hint="eastAsia" w:ascii="宋体" w:hAnsi="宋体"/>
        </w:rPr>
      </w:pPr>
    </w:p>
    <w:p>
      <w:pPr>
        <w:jc w:val="center"/>
        <w:rPr>
          <w:rFonts w:hint="eastAsia" w:ascii="楷体_GB2312" w:hAnsi="宋体" w:eastAsia="楷体_GB2312"/>
          <w:b/>
          <w:sz w:val="44"/>
          <w:szCs w:val="44"/>
        </w:rPr>
      </w:pPr>
      <w:r>
        <w:rPr>
          <w:rFonts w:hint="eastAsia" w:ascii="楷体_GB2312" w:hAnsi="宋体" w:eastAsia="楷体_GB2312"/>
          <w:b/>
          <w:sz w:val="44"/>
          <w:szCs w:val="44"/>
        </w:rPr>
        <w:t>目  录</w:t>
      </w:r>
    </w:p>
    <w:p>
      <w:pPr>
        <w:pStyle w:val="6"/>
        <w:tabs>
          <w:tab w:val="right" w:leader="dot" w:pos="8306"/>
        </w:tabs>
      </w:pPr>
      <w:r>
        <w:rPr>
          <w:rFonts w:ascii="宋体" w:hAnsi="宋体"/>
          <w:caps w:val="0"/>
        </w:rPr>
        <w:fldChar w:fldCharType="begin"/>
      </w:r>
      <w:r>
        <w:rPr>
          <w:rFonts w:ascii="宋体" w:hAnsi="宋体"/>
          <w:caps w:val="0"/>
        </w:rPr>
        <w:instrText xml:space="preserve"> TOC \o "1-3" \h \z \u </w:instrText>
      </w:r>
      <w:r>
        <w:rPr>
          <w:rFonts w:ascii="宋体" w:hAnsi="宋体"/>
          <w:caps w:val="0"/>
        </w:rPr>
        <w:fldChar w:fldCharType="separate"/>
      </w:r>
      <w:r>
        <w:rPr>
          <w:rFonts w:ascii="宋体" w:hAnsi="宋体"/>
          <w:caps w:val="0"/>
        </w:rPr>
        <w:fldChar w:fldCharType="begin"/>
      </w:r>
      <w:r>
        <w:rPr>
          <w:rFonts w:ascii="宋体" w:hAnsi="宋体"/>
          <w:caps w:val="0"/>
        </w:rPr>
        <w:instrText xml:space="preserve"> HYPERLINK \l _Toc1388 </w:instrText>
      </w:r>
      <w:r>
        <w:rPr>
          <w:rFonts w:ascii="宋体" w:hAnsi="宋体"/>
          <w:caps w:val="0"/>
        </w:rPr>
        <w:fldChar w:fldCharType="separate"/>
      </w:r>
      <w:r>
        <w:rPr>
          <w:rFonts w:hint="eastAsia"/>
          <w:szCs w:val="44"/>
          <w:lang w:val="en-US"/>
        </w:rPr>
        <w:t xml:space="preserve">一、 </w:t>
      </w:r>
      <w:r>
        <w:rPr>
          <w:rFonts w:hint="eastAsia"/>
          <w:szCs w:val="44"/>
        </w:rPr>
        <w:t>系统前期准备</w:t>
      </w:r>
      <w:r>
        <w:tab/>
      </w:r>
      <w:r>
        <w:fldChar w:fldCharType="begin"/>
      </w:r>
      <w:r>
        <w:instrText xml:space="preserve"> PAGEREF _Toc1388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/>
          <w:caps w:val="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ascii="宋体" w:hAnsi="宋体"/>
          <w:caps/>
          <w:szCs w:val="20"/>
        </w:rPr>
        <w:fldChar w:fldCharType="begin"/>
      </w:r>
      <w:r>
        <w:rPr>
          <w:rFonts w:ascii="宋体" w:hAnsi="宋体"/>
          <w:caps/>
          <w:szCs w:val="20"/>
        </w:rPr>
        <w:instrText xml:space="preserve"> HYPERLINK \l _Toc19853 </w:instrText>
      </w:r>
      <w:r>
        <w:rPr>
          <w:rFonts w:ascii="宋体" w:hAnsi="宋体"/>
          <w:caps/>
          <w:szCs w:val="20"/>
        </w:rPr>
        <w:fldChar w:fldCharType="separate"/>
      </w:r>
      <w:r>
        <w:rPr>
          <w:rFonts w:hint="eastAsia"/>
          <w:szCs w:val="30"/>
        </w:rPr>
        <w:t xml:space="preserve">1.1、 </w:t>
      </w:r>
      <w:r>
        <w:t>浏览器配置</w:t>
      </w:r>
      <w:r>
        <w:tab/>
      </w:r>
      <w:r>
        <w:fldChar w:fldCharType="begin"/>
      </w:r>
      <w:r>
        <w:instrText xml:space="preserve"> PAGEREF _Toc19853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/>
          <w:caps/>
          <w:szCs w:val="20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ascii="宋体" w:hAnsi="宋体"/>
          <w:caps/>
          <w:szCs w:val="20"/>
        </w:rPr>
        <w:fldChar w:fldCharType="begin"/>
      </w:r>
      <w:r>
        <w:rPr>
          <w:rFonts w:ascii="宋体" w:hAnsi="宋体"/>
          <w:caps/>
          <w:szCs w:val="20"/>
        </w:rPr>
        <w:instrText xml:space="preserve"> HYPERLINK \l _Toc21682 </w:instrText>
      </w:r>
      <w:r>
        <w:rPr>
          <w:rFonts w:ascii="宋体" w:hAnsi="宋体"/>
          <w:caps/>
          <w:szCs w:val="20"/>
        </w:rPr>
        <w:fldChar w:fldCharType="separate"/>
      </w:r>
      <w:r>
        <w:rPr>
          <w:rFonts w:hint="eastAsia"/>
        </w:rPr>
        <w:t xml:space="preserve">1.1.1、 </w:t>
      </w:r>
      <w:r>
        <w:t>Internet选项</w:t>
      </w:r>
      <w:r>
        <w:tab/>
      </w:r>
      <w:r>
        <w:fldChar w:fldCharType="begin"/>
      </w:r>
      <w:r>
        <w:instrText xml:space="preserve"> PAGEREF _Toc21682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/>
          <w:caps/>
          <w:szCs w:val="20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ascii="宋体" w:hAnsi="宋体"/>
          <w:caps/>
          <w:szCs w:val="20"/>
        </w:rPr>
        <w:fldChar w:fldCharType="begin"/>
      </w:r>
      <w:r>
        <w:rPr>
          <w:rFonts w:ascii="宋体" w:hAnsi="宋体"/>
          <w:caps/>
          <w:szCs w:val="20"/>
        </w:rPr>
        <w:instrText xml:space="preserve"> HYPERLINK \l _Toc11224 </w:instrText>
      </w:r>
      <w:r>
        <w:rPr>
          <w:rFonts w:ascii="宋体" w:hAnsi="宋体"/>
          <w:caps/>
          <w:szCs w:val="20"/>
        </w:rPr>
        <w:fldChar w:fldCharType="separate"/>
      </w:r>
      <w:r>
        <w:rPr>
          <w:rFonts w:hint="eastAsia"/>
        </w:rPr>
        <w:t xml:space="preserve">1.1.2、 </w:t>
      </w:r>
      <w:r>
        <w:t>关闭拦截工具</w:t>
      </w:r>
      <w:r>
        <w:tab/>
      </w:r>
      <w:r>
        <w:fldChar w:fldCharType="begin"/>
      </w:r>
      <w:r>
        <w:instrText xml:space="preserve"> PAGEREF _Toc11224 </w:instrText>
      </w:r>
      <w:r>
        <w:fldChar w:fldCharType="separate"/>
      </w:r>
      <w:r>
        <w:t>7</w:t>
      </w:r>
      <w:r>
        <w:fldChar w:fldCharType="end"/>
      </w:r>
      <w:r>
        <w:rPr>
          <w:rFonts w:ascii="宋体" w:hAnsi="宋体"/>
          <w:caps/>
          <w:szCs w:val="2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ascii="宋体" w:hAnsi="宋体"/>
          <w:caps/>
          <w:szCs w:val="20"/>
        </w:rPr>
        <w:fldChar w:fldCharType="begin"/>
      </w:r>
      <w:r>
        <w:rPr>
          <w:rFonts w:ascii="宋体" w:hAnsi="宋体"/>
          <w:caps/>
          <w:szCs w:val="20"/>
        </w:rPr>
        <w:instrText xml:space="preserve"> HYPERLINK \l _Toc32536 </w:instrText>
      </w:r>
      <w:r>
        <w:rPr>
          <w:rFonts w:ascii="宋体" w:hAnsi="宋体"/>
          <w:caps/>
          <w:szCs w:val="20"/>
        </w:rPr>
        <w:fldChar w:fldCharType="separate"/>
      </w:r>
      <w:r>
        <w:rPr>
          <w:rFonts w:hint="eastAsia"/>
          <w:szCs w:val="30"/>
        </w:rPr>
        <w:t xml:space="preserve">1.2、 </w:t>
      </w:r>
      <w:r>
        <w:rPr>
          <w:rFonts w:hint="eastAsia"/>
          <w:lang w:eastAsia="zh-CN"/>
        </w:rPr>
        <w:t>驱动安装</w:t>
      </w:r>
      <w:r>
        <w:tab/>
      </w:r>
      <w:r>
        <w:fldChar w:fldCharType="begin"/>
      </w:r>
      <w:r>
        <w:instrText xml:space="preserve"> PAGEREF _Toc32536 </w:instrText>
      </w:r>
      <w:r>
        <w:fldChar w:fldCharType="separate"/>
      </w:r>
      <w:r>
        <w:t>7</w:t>
      </w:r>
      <w:r>
        <w:fldChar w:fldCharType="end"/>
      </w:r>
      <w:r>
        <w:rPr>
          <w:rFonts w:ascii="宋体" w:hAnsi="宋体"/>
          <w:caps/>
          <w:szCs w:val="20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ascii="宋体" w:hAnsi="宋体"/>
          <w:caps/>
          <w:szCs w:val="20"/>
        </w:rPr>
        <w:fldChar w:fldCharType="begin"/>
      </w:r>
      <w:r>
        <w:rPr>
          <w:rFonts w:ascii="宋体" w:hAnsi="宋体"/>
          <w:caps/>
          <w:szCs w:val="20"/>
        </w:rPr>
        <w:instrText xml:space="preserve"> HYPERLINK \l _Toc24563 </w:instrText>
      </w:r>
      <w:r>
        <w:rPr>
          <w:rFonts w:ascii="宋体" w:hAnsi="宋体"/>
          <w:caps/>
          <w:szCs w:val="20"/>
        </w:rPr>
        <w:fldChar w:fldCharType="separate"/>
      </w:r>
      <w:r>
        <w:rPr>
          <w:rFonts w:hint="eastAsia"/>
          <w:szCs w:val="44"/>
          <w:lang w:val="en-US" w:eastAsia="zh-CN"/>
        </w:rPr>
        <w:t>二、 投标人远程解密</w:t>
      </w:r>
      <w:r>
        <w:tab/>
      </w:r>
      <w:r>
        <w:fldChar w:fldCharType="begin"/>
      </w:r>
      <w:r>
        <w:instrText xml:space="preserve"> PAGEREF _Toc24563 </w:instrText>
      </w:r>
      <w:r>
        <w:fldChar w:fldCharType="separate"/>
      </w:r>
      <w:r>
        <w:t>8</w:t>
      </w:r>
      <w:r>
        <w:fldChar w:fldCharType="end"/>
      </w:r>
      <w:r>
        <w:rPr>
          <w:rFonts w:ascii="宋体" w:hAnsi="宋体"/>
          <w:caps/>
          <w:szCs w:val="2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ascii="宋体" w:hAnsi="宋体"/>
          <w:caps/>
          <w:szCs w:val="20"/>
        </w:rPr>
        <w:fldChar w:fldCharType="begin"/>
      </w:r>
      <w:r>
        <w:rPr>
          <w:rFonts w:ascii="宋体" w:hAnsi="宋体"/>
          <w:caps/>
          <w:szCs w:val="20"/>
        </w:rPr>
        <w:instrText xml:space="preserve"> HYPERLINK \l _Toc16254 </w:instrText>
      </w:r>
      <w:r>
        <w:rPr>
          <w:rFonts w:ascii="宋体" w:hAnsi="宋体"/>
          <w:caps/>
          <w:szCs w:val="20"/>
        </w:rPr>
        <w:fldChar w:fldCharType="separate"/>
      </w:r>
      <w:r>
        <w:rPr>
          <w:rFonts w:hint="eastAsia" w:ascii="黑体" w:eastAsia="黑体"/>
          <w:lang w:val="en-US" w:eastAsia="zh-CN"/>
        </w:rPr>
        <w:t xml:space="preserve">1.1 </w:t>
      </w:r>
      <w:r>
        <w:rPr>
          <w:rFonts w:hint="eastAsia"/>
          <w:lang w:val="en-US" w:eastAsia="zh-CN"/>
        </w:rPr>
        <w:t>进入开标大厅</w:t>
      </w:r>
      <w:r>
        <w:tab/>
      </w:r>
      <w:r>
        <w:fldChar w:fldCharType="begin"/>
      </w:r>
      <w:r>
        <w:instrText xml:space="preserve"> PAGEREF _Toc16254 </w:instrText>
      </w:r>
      <w:r>
        <w:fldChar w:fldCharType="separate"/>
      </w:r>
      <w:r>
        <w:t>8</w:t>
      </w:r>
      <w:r>
        <w:fldChar w:fldCharType="end"/>
      </w:r>
      <w:r>
        <w:rPr>
          <w:rFonts w:ascii="宋体" w:hAnsi="宋体"/>
          <w:caps/>
          <w:szCs w:val="2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ascii="宋体" w:hAnsi="宋体"/>
          <w:caps/>
          <w:szCs w:val="20"/>
        </w:rPr>
        <w:fldChar w:fldCharType="begin"/>
      </w:r>
      <w:r>
        <w:rPr>
          <w:rFonts w:ascii="宋体" w:hAnsi="宋体"/>
          <w:caps/>
          <w:szCs w:val="20"/>
        </w:rPr>
        <w:instrText xml:space="preserve"> HYPERLINK \l _Toc9400 </w:instrText>
      </w:r>
      <w:r>
        <w:rPr>
          <w:rFonts w:ascii="宋体" w:hAnsi="宋体"/>
          <w:caps/>
          <w:szCs w:val="20"/>
        </w:rPr>
        <w:fldChar w:fldCharType="separate"/>
      </w:r>
      <w:r>
        <w:rPr>
          <w:rFonts w:hint="eastAsia" w:ascii="黑体" w:eastAsia="黑体"/>
          <w:lang w:val="en-US" w:eastAsia="zh-CN"/>
        </w:rPr>
        <w:t xml:space="preserve">1.2 </w:t>
      </w:r>
      <w:r>
        <w:rPr>
          <w:rFonts w:hint="eastAsia"/>
          <w:lang w:val="en-US" w:eastAsia="zh-CN"/>
        </w:rPr>
        <w:t>远程解密</w:t>
      </w:r>
      <w:r>
        <w:tab/>
      </w:r>
      <w:r>
        <w:fldChar w:fldCharType="begin"/>
      </w:r>
      <w:r>
        <w:instrText xml:space="preserve"> PAGEREF _Toc9400 </w:instrText>
      </w:r>
      <w:r>
        <w:fldChar w:fldCharType="separate"/>
      </w:r>
      <w:r>
        <w:t>9</w:t>
      </w:r>
      <w:r>
        <w:fldChar w:fldCharType="end"/>
      </w:r>
      <w:r>
        <w:rPr>
          <w:rFonts w:ascii="宋体" w:hAnsi="宋体"/>
          <w:caps/>
          <w:szCs w:val="20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ascii="宋体" w:hAnsi="宋体"/>
          <w:caps/>
          <w:szCs w:val="20"/>
        </w:rPr>
        <w:fldChar w:fldCharType="begin"/>
      </w:r>
      <w:r>
        <w:rPr>
          <w:rFonts w:ascii="宋体" w:hAnsi="宋体"/>
          <w:caps/>
          <w:szCs w:val="20"/>
        </w:rPr>
        <w:instrText xml:space="preserve"> HYPERLINK \l _Toc2797 </w:instrText>
      </w:r>
      <w:r>
        <w:rPr>
          <w:rFonts w:ascii="宋体" w:hAnsi="宋体"/>
          <w:caps/>
          <w:szCs w:val="20"/>
        </w:rPr>
        <w:fldChar w:fldCharType="separate"/>
      </w:r>
      <w:r>
        <w:rPr>
          <w:rFonts w:hint="eastAsia"/>
          <w:szCs w:val="44"/>
          <w:lang w:val="en-US" w:eastAsia="zh-CN"/>
        </w:rPr>
        <w:t>三、 异议提问及签章</w:t>
      </w:r>
      <w:r>
        <w:tab/>
      </w:r>
      <w:r>
        <w:fldChar w:fldCharType="begin"/>
      </w:r>
      <w:r>
        <w:instrText xml:space="preserve"> PAGEREF _Toc2797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/>
          <w:caps/>
          <w:szCs w:val="2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ascii="宋体" w:hAnsi="宋体"/>
          <w:caps/>
          <w:szCs w:val="20"/>
        </w:rPr>
        <w:fldChar w:fldCharType="begin"/>
      </w:r>
      <w:r>
        <w:rPr>
          <w:rFonts w:ascii="宋体" w:hAnsi="宋体"/>
          <w:caps/>
          <w:szCs w:val="20"/>
        </w:rPr>
        <w:instrText xml:space="preserve"> HYPERLINK \l _Toc29267 </w:instrText>
      </w:r>
      <w:r>
        <w:rPr>
          <w:rFonts w:ascii="宋体" w:hAnsi="宋体"/>
          <w:caps/>
          <w:szCs w:val="20"/>
        </w:rPr>
        <w:fldChar w:fldCharType="separate"/>
      </w:r>
      <w:r>
        <w:rPr>
          <w:rFonts w:hint="eastAsia" w:ascii="黑体" w:eastAsia="黑体"/>
          <w:lang w:val="en-US" w:eastAsia="zh-CN"/>
        </w:rPr>
        <w:t xml:space="preserve">1.3 </w:t>
      </w:r>
      <w:r>
        <w:rPr>
          <w:rFonts w:hint="eastAsia"/>
          <w:lang w:val="en-US" w:eastAsia="zh-CN"/>
        </w:rPr>
        <w:t>异议提问</w:t>
      </w:r>
      <w:r>
        <w:tab/>
      </w:r>
      <w:r>
        <w:fldChar w:fldCharType="begin"/>
      </w:r>
      <w:r>
        <w:instrText xml:space="preserve"> PAGEREF _Toc29267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/>
          <w:caps/>
          <w:szCs w:val="2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ascii="宋体" w:hAnsi="宋体"/>
          <w:caps/>
          <w:szCs w:val="20"/>
        </w:rPr>
        <w:fldChar w:fldCharType="begin"/>
      </w:r>
      <w:r>
        <w:rPr>
          <w:rFonts w:ascii="宋体" w:hAnsi="宋体"/>
          <w:caps/>
          <w:szCs w:val="20"/>
        </w:rPr>
        <w:instrText xml:space="preserve"> HYPERLINK \l _Toc6910 </w:instrText>
      </w:r>
      <w:r>
        <w:rPr>
          <w:rFonts w:ascii="宋体" w:hAnsi="宋体"/>
          <w:caps/>
          <w:szCs w:val="20"/>
        </w:rPr>
        <w:fldChar w:fldCharType="separate"/>
      </w:r>
      <w:r>
        <w:rPr>
          <w:rFonts w:hint="eastAsia" w:ascii="黑体" w:eastAsia="黑体"/>
          <w:lang w:val="en-US" w:eastAsia="zh-CN"/>
        </w:rPr>
        <w:t xml:space="preserve">1.4 </w:t>
      </w:r>
      <w:r>
        <w:rPr>
          <w:rFonts w:hint="eastAsia"/>
          <w:lang w:val="en-US" w:eastAsia="zh-CN"/>
        </w:rPr>
        <w:t>签章</w:t>
      </w:r>
      <w:r>
        <w:tab/>
      </w:r>
      <w:r>
        <w:fldChar w:fldCharType="begin"/>
      </w:r>
      <w:r>
        <w:instrText xml:space="preserve"> PAGEREF _Toc6910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/>
          <w:caps/>
          <w:szCs w:val="20"/>
        </w:rPr>
        <w:fldChar w:fldCharType="end"/>
      </w:r>
    </w:p>
    <w:p>
      <w:pPr>
        <w:pStyle w:val="10"/>
        <w:ind w:firstLine="0" w:firstLineChars="0"/>
        <w:jc w:val="left"/>
        <w:rPr>
          <w:rFonts w:hint="eastAsia" w:ascii="宋体" w:hAnsi="宋体"/>
        </w:rPr>
      </w:pPr>
      <w:r>
        <w:rPr>
          <w:rFonts w:ascii="宋体" w:hAnsi="宋体"/>
          <w:caps/>
          <w:szCs w:val="20"/>
        </w:rPr>
        <w:fldChar w:fldCharType="end"/>
      </w:r>
    </w:p>
    <w:p>
      <w:pPr>
        <w:pStyle w:val="10"/>
        <w:ind w:firstLine="0" w:firstLineChars="0"/>
        <w:jc w:val="left"/>
        <w:rPr>
          <w:rFonts w:hint="eastAsia" w:ascii="宋体" w:hAnsi="宋体"/>
        </w:rPr>
      </w:pPr>
    </w:p>
    <w:p>
      <w:pPr>
        <w:pStyle w:val="10"/>
        <w:ind w:firstLine="0" w:firstLineChars="0"/>
        <w:jc w:val="left"/>
        <w:rPr>
          <w:rFonts w:hint="eastAsia" w:ascii="宋体" w:hAnsi="宋体"/>
        </w:rPr>
      </w:pPr>
    </w:p>
    <w:p>
      <w:pPr>
        <w:pStyle w:val="10"/>
        <w:ind w:firstLine="0" w:firstLineChars="0"/>
        <w:jc w:val="left"/>
        <w:rPr>
          <w:rFonts w:hint="eastAsia" w:ascii="宋体" w:hAnsi="宋体"/>
        </w:rPr>
      </w:pPr>
    </w:p>
    <w:p>
      <w:pPr>
        <w:pStyle w:val="10"/>
        <w:ind w:firstLine="0" w:firstLineChars="0"/>
        <w:jc w:val="left"/>
        <w:rPr>
          <w:rFonts w:hint="eastAsia" w:ascii="宋体" w:hAnsi="宋体"/>
        </w:rPr>
      </w:pPr>
    </w:p>
    <w:p>
      <w:pPr>
        <w:pStyle w:val="10"/>
        <w:ind w:firstLine="0" w:firstLineChars="0"/>
        <w:jc w:val="left"/>
        <w:rPr>
          <w:rFonts w:hint="eastAsia" w:ascii="宋体" w:hAnsi="宋体"/>
        </w:rPr>
      </w:pPr>
    </w:p>
    <w:p>
      <w:pPr>
        <w:pStyle w:val="10"/>
        <w:ind w:firstLine="0" w:firstLineChars="0"/>
        <w:jc w:val="left"/>
        <w:rPr>
          <w:rFonts w:hint="eastAsia" w:ascii="宋体" w:hAnsi="宋体"/>
        </w:rPr>
      </w:pPr>
    </w:p>
    <w:p>
      <w:pPr>
        <w:pStyle w:val="10"/>
        <w:ind w:firstLine="0" w:firstLineChars="0"/>
        <w:jc w:val="left"/>
        <w:rPr>
          <w:rFonts w:hint="eastAsia" w:ascii="宋体" w:hAnsi="宋体"/>
        </w:rPr>
      </w:pPr>
    </w:p>
    <w:p>
      <w:pPr>
        <w:pStyle w:val="10"/>
        <w:ind w:firstLine="0" w:firstLineChars="0"/>
        <w:jc w:val="left"/>
        <w:rPr>
          <w:rFonts w:hint="eastAsia" w:ascii="宋体" w:hAnsi="宋体"/>
        </w:rPr>
      </w:pPr>
    </w:p>
    <w:p>
      <w:pPr>
        <w:pStyle w:val="10"/>
        <w:ind w:firstLine="0" w:firstLineChars="0"/>
        <w:jc w:val="left"/>
        <w:rPr>
          <w:rFonts w:hint="eastAsia" w:ascii="宋体" w:hAnsi="宋体"/>
        </w:rPr>
      </w:pPr>
    </w:p>
    <w:p>
      <w:pPr>
        <w:pStyle w:val="10"/>
        <w:ind w:firstLine="0" w:firstLineChars="0"/>
        <w:jc w:val="left"/>
        <w:rPr>
          <w:rFonts w:hint="eastAsia" w:ascii="宋体" w:hAnsi="宋体"/>
        </w:rPr>
      </w:pPr>
    </w:p>
    <w:p>
      <w:pPr>
        <w:pStyle w:val="10"/>
        <w:ind w:firstLine="0" w:firstLineChars="0"/>
        <w:jc w:val="left"/>
        <w:rPr>
          <w:rFonts w:hint="eastAsia" w:ascii="宋体" w:hAnsi="宋体"/>
        </w:rPr>
      </w:pPr>
    </w:p>
    <w:p>
      <w:pPr>
        <w:pStyle w:val="10"/>
        <w:ind w:firstLine="0" w:firstLineChars="0"/>
        <w:jc w:val="left"/>
        <w:rPr>
          <w:rFonts w:hint="eastAsia" w:ascii="宋体" w:hAnsi="宋体"/>
        </w:rPr>
      </w:pPr>
    </w:p>
    <w:p>
      <w:pPr>
        <w:pStyle w:val="10"/>
        <w:ind w:firstLine="0" w:firstLineChars="0"/>
        <w:jc w:val="left"/>
        <w:rPr>
          <w:rFonts w:hint="eastAsia" w:ascii="宋体" w:hAnsi="宋体"/>
        </w:rPr>
      </w:pPr>
    </w:p>
    <w:p>
      <w:pPr>
        <w:pStyle w:val="10"/>
        <w:ind w:firstLine="0" w:firstLineChars="0"/>
        <w:jc w:val="left"/>
        <w:rPr>
          <w:rFonts w:hint="eastAsia" w:ascii="宋体" w:hAnsi="宋体"/>
        </w:rPr>
      </w:pPr>
    </w:p>
    <w:p>
      <w:pPr>
        <w:pStyle w:val="10"/>
        <w:ind w:firstLine="0" w:firstLineChars="0"/>
        <w:jc w:val="left"/>
        <w:rPr>
          <w:rFonts w:hint="eastAsia" w:ascii="宋体" w:hAnsi="宋体"/>
        </w:rPr>
      </w:pPr>
    </w:p>
    <w:p>
      <w:pPr>
        <w:pStyle w:val="10"/>
        <w:ind w:firstLine="0" w:firstLineChars="0"/>
        <w:jc w:val="left"/>
        <w:rPr>
          <w:rFonts w:hint="eastAsia" w:ascii="宋体" w:hAnsi="宋体"/>
        </w:rPr>
      </w:pPr>
    </w:p>
    <w:p>
      <w:pPr>
        <w:pStyle w:val="10"/>
        <w:ind w:firstLine="0" w:firstLineChars="0"/>
        <w:jc w:val="left"/>
        <w:rPr>
          <w:rFonts w:hint="eastAsia" w:ascii="宋体" w:hAnsi="宋体"/>
        </w:rPr>
      </w:pPr>
    </w:p>
    <w:p>
      <w:pPr>
        <w:spacing w:line="360" w:lineRule="auto"/>
        <w:rPr>
          <w:rFonts w:hint="eastAsia"/>
        </w:rPr>
      </w:pPr>
    </w:p>
    <w:p>
      <w:pPr>
        <w:pStyle w:val="2"/>
        <w:numPr>
          <w:ilvl w:val="0"/>
          <w:numId w:val="2"/>
        </w:numPr>
        <w:spacing w:before="120" w:after="120"/>
        <w:ind w:firstLine="0"/>
        <w:jc w:val="left"/>
        <w:rPr>
          <w:sz w:val="44"/>
          <w:szCs w:val="44"/>
        </w:rPr>
      </w:pPr>
      <w:bookmarkStart w:id="0" w:name="_Toc482116855"/>
      <w:bookmarkStart w:id="1" w:name="_Toc1388"/>
      <w:r>
        <w:rPr>
          <w:rFonts w:hint="eastAsia"/>
          <w:sz w:val="44"/>
          <w:szCs w:val="44"/>
        </w:rPr>
        <w:t>系统前期准备</w:t>
      </w:r>
      <w:bookmarkEnd w:id="0"/>
      <w:bookmarkEnd w:id="1"/>
    </w:p>
    <w:p>
      <w:pPr>
        <w:pStyle w:val="3"/>
        <w:numPr>
          <w:ilvl w:val="1"/>
          <w:numId w:val="2"/>
        </w:numPr>
        <w:spacing w:before="120" w:after="120"/>
        <w:ind w:firstLine="0"/>
        <w:jc w:val="left"/>
      </w:pPr>
      <w:bookmarkStart w:id="2" w:name="_Toc346183639"/>
      <w:bookmarkStart w:id="3" w:name="_Toc482116856"/>
      <w:bookmarkStart w:id="4" w:name="_Toc19853"/>
      <w:r>
        <w:t>浏览器配置</w:t>
      </w:r>
      <w:bookmarkEnd w:id="2"/>
      <w:bookmarkEnd w:id="3"/>
      <w:bookmarkEnd w:id="4"/>
    </w:p>
    <w:p>
      <w:pPr>
        <w:pStyle w:val="4"/>
        <w:numPr>
          <w:ilvl w:val="2"/>
          <w:numId w:val="2"/>
        </w:numPr>
        <w:spacing w:before="120" w:after="120"/>
        <w:ind w:left="689" w:firstLine="0"/>
        <w:jc w:val="left"/>
        <w:rPr>
          <w:rFonts w:hint="eastAsia"/>
        </w:rPr>
      </w:pPr>
      <w:bookmarkStart w:id="5" w:name="_Toc21682"/>
      <w:bookmarkStart w:id="6" w:name="_Toc346183640"/>
      <w:bookmarkStart w:id="7" w:name="_Toc482116857"/>
      <w:r>
        <w:t>Internet选项</w:t>
      </w:r>
      <w:bookmarkEnd w:id="5"/>
      <w:bookmarkEnd w:id="6"/>
      <w:bookmarkEnd w:id="7"/>
    </w:p>
    <w:p>
      <w:pPr>
        <w:rPr>
          <w:color w:val="FF0000"/>
        </w:rPr>
      </w:pPr>
      <w:r>
        <w:rPr>
          <w:rFonts w:hint="eastAsia"/>
        </w:rPr>
        <w:t xml:space="preserve">   </w:t>
      </w:r>
      <w:r>
        <w:rPr>
          <w:rFonts w:hint="eastAsia"/>
          <w:color w:val="FF0000"/>
        </w:rPr>
        <w:t xml:space="preserve"> 系统使用必须使用32位IE浏览器，浏览器版本为IE 9以上版本。</w:t>
      </w:r>
    </w:p>
    <w:p>
      <w:pPr>
        <w:ind w:firstLine="436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>
      <w:pPr>
        <w:ind w:firstLine="436"/>
        <w:rPr>
          <w:spacing w:val="4"/>
        </w:rPr>
      </w:pPr>
      <w:r>
        <w:rPr>
          <w:spacing w:val="4"/>
        </w:rPr>
        <w:t>1、打开浏览器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具”菜单→“Internet选项”，如下图：</w:t>
      </w:r>
    </w:p>
    <w:p>
      <w:pPr>
        <w:pStyle w:val="11"/>
      </w:pPr>
      <w:r>
        <w:drawing>
          <wp:inline distT="0" distB="0" distL="114300" distR="114300">
            <wp:extent cx="3561715" cy="3152775"/>
            <wp:effectExtent l="0" t="0" r="63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2、弹出对话框之后，请选择“安全”选项卡，具体的界面，如下图：</w:t>
      </w:r>
    </w:p>
    <w:p>
      <w:pPr>
        <w:pStyle w:val="11"/>
      </w:pPr>
      <w:r>
        <w:drawing>
          <wp:inline distT="0" distB="0" distL="114300" distR="114300">
            <wp:extent cx="3562350" cy="34385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</w:p>
    <w:p>
      <w:pPr>
        <w:ind w:firstLine="436"/>
        <w:rPr>
          <w:spacing w:val="4"/>
        </w:rPr>
      </w:pPr>
      <w:r>
        <w:rPr>
          <w:spacing w:val="4"/>
        </w:rPr>
        <w:t>3、</w:t>
      </w:r>
      <w:r>
        <w:rPr>
          <w:rFonts w:ascii="宋体" w:hAnsi="宋体"/>
          <w:spacing w:val="4"/>
        </w:rPr>
        <w:t>点击绿色的“受信任的站点”的图片，会看到如下图所示的界面，如下图：</w:t>
      </w:r>
    </w:p>
    <w:p>
      <w:pPr>
        <w:pStyle w:val="11"/>
      </w:pPr>
      <w:r>
        <w:drawing>
          <wp:inline distT="0" distB="0" distL="114300" distR="114300">
            <wp:extent cx="3726180" cy="4455160"/>
            <wp:effectExtent l="0" t="0" r="762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4、点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按钮，出现如下对话框，如下图：</w:t>
      </w:r>
    </w:p>
    <w:p>
      <w:pPr>
        <w:pStyle w:val="11"/>
      </w:pPr>
      <w:r>
        <w:drawing>
          <wp:inline distT="0" distB="0" distL="114300" distR="114300">
            <wp:extent cx="4009390" cy="4780915"/>
            <wp:effectExtent l="0" t="0" r="1016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478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输入系统服务器的地址，格式例如：</w:t>
      </w:r>
      <w:r>
        <w:rPr>
          <w:color w:val="FF0000"/>
          <w:spacing w:val="4"/>
        </w:rPr>
        <w:t>http://www</w:t>
      </w:r>
      <w:r>
        <w:rPr>
          <w:rFonts w:hint="eastAsia"/>
          <w:color w:val="FF0000"/>
          <w:spacing w:val="4"/>
          <w:lang w:val="en-US" w:eastAsia="zh-CN"/>
        </w:rPr>
        <w:t>.zhongkehenan.com</w:t>
      </w:r>
      <w:r>
        <w:rPr>
          <w:spacing w:val="4"/>
        </w:rPr>
        <w:t>，然后点击“添加”按钮完成添加，再按“关闭”按钮退出。</w:t>
      </w:r>
    </w:p>
    <w:p>
      <w:pPr>
        <w:ind w:firstLine="436"/>
        <w:rPr>
          <w:spacing w:val="4"/>
        </w:rPr>
      </w:pPr>
      <w:r>
        <w:rPr>
          <w:spacing w:val="4"/>
        </w:rPr>
        <w:t>5、设置自定义安全级别，开放Activex的访问权限，如下图：</w:t>
      </w:r>
    </w:p>
    <w:p>
      <w:pPr>
        <w:pStyle w:val="11"/>
      </w:pPr>
      <w:r>
        <w:drawing>
          <wp:inline distT="0" distB="0" distL="114300" distR="114300">
            <wp:extent cx="3371850" cy="41052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3"/>
        </w:numPr>
        <w:spacing w:line="360" w:lineRule="auto"/>
        <w:ind w:firstLineChars="0"/>
        <w:jc w:val="left"/>
        <w:rPr>
          <w:spacing w:val="4"/>
        </w:rPr>
      </w:pPr>
      <w:r>
        <w:rPr>
          <w:spacing w:val="4"/>
        </w:rPr>
        <w:t>会出现一个窗口，把其中的Activex控件和插件的设置全部改为启用</w:t>
      </w:r>
      <w:r>
        <w:rPr>
          <w:rFonts w:hint="eastAsia"/>
          <w:spacing w:val="4"/>
        </w:rPr>
        <w:t>，如下图：</w:t>
      </w:r>
    </w:p>
    <w:p>
      <w:pPr>
        <w:pStyle w:val="11"/>
      </w:pPr>
      <w:r>
        <w:drawing>
          <wp:inline distT="0" distB="0" distL="114300" distR="114300">
            <wp:extent cx="3397250" cy="3632835"/>
            <wp:effectExtent l="0" t="0" r="1270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spacing w:val="4"/>
        </w:rPr>
      </w:pPr>
      <w:r>
        <w:rPr>
          <w:spacing w:val="4"/>
        </w:rPr>
        <w:t>文件下载设置，开放文件下载的权限：设置为启用，如下图：</w:t>
      </w:r>
    </w:p>
    <w:p>
      <w:pPr>
        <w:pStyle w:val="11"/>
        <w:rPr>
          <w:rFonts w:hint="eastAsia"/>
        </w:rPr>
      </w:pPr>
      <w:r>
        <w:drawing>
          <wp:inline distT="0" distB="0" distL="114300" distR="114300">
            <wp:extent cx="3524885" cy="3703955"/>
            <wp:effectExtent l="0" t="0" r="1841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</w:p>
    <w:p>
      <w:pPr>
        <w:pStyle w:val="4"/>
        <w:numPr>
          <w:ilvl w:val="2"/>
          <w:numId w:val="2"/>
        </w:numPr>
        <w:spacing w:before="120" w:after="120"/>
        <w:ind w:left="689" w:firstLine="0"/>
        <w:jc w:val="left"/>
      </w:pPr>
      <w:bookmarkStart w:id="8" w:name="_Toc346183641"/>
      <w:bookmarkStart w:id="9" w:name="_Toc482116858"/>
      <w:bookmarkStart w:id="10" w:name="_Toc11224"/>
      <w:r>
        <w:t>关闭拦截工具</w:t>
      </w:r>
      <w:bookmarkEnd w:id="8"/>
      <w:bookmarkEnd w:id="9"/>
      <w:bookmarkEnd w:id="10"/>
    </w:p>
    <w:p>
      <w:pPr>
        <w:ind w:firstLine="436"/>
        <w:rPr>
          <w:spacing w:val="4"/>
        </w:rPr>
      </w:pPr>
      <w:r>
        <w:rPr>
          <w:spacing w:val="4"/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11"/>
      </w:pPr>
      <w:r>
        <w:drawing>
          <wp:inline distT="0" distB="0" distL="114300" distR="114300">
            <wp:extent cx="5095875" cy="23241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both"/>
        <w:rPr>
          <w:szCs w:val="21"/>
        </w:rPr>
      </w:pPr>
      <w:r>
        <w:rPr>
          <w:rFonts w:hint="eastAsia"/>
          <w:color w:val="FF0000"/>
        </w:rPr>
        <w:t>将以上浏览器设置流程全部设置完毕之后，需重新启动IE浏览器，设置才会生效。</w:t>
      </w:r>
    </w:p>
    <w:p>
      <w:pPr>
        <w:pStyle w:val="11"/>
        <w:jc w:val="both"/>
      </w:pPr>
    </w:p>
    <w:p>
      <w:pPr>
        <w:pStyle w:val="3"/>
        <w:numPr>
          <w:ilvl w:val="1"/>
          <w:numId w:val="2"/>
        </w:numPr>
        <w:spacing w:before="120" w:after="120"/>
        <w:ind w:firstLine="0"/>
        <w:jc w:val="left"/>
      </w:pPr>
      <w:bookmarkStart w:id="11" w:name="_Toc32536"/>
      <w:r>
        <w:rPr>
          <w:rFonts w:hint="eastAsia"/>
          <w:lang w:eastAsia="zh-CN"/>
        </w:rPr>
        <w:t>驱动安装</w:t>
      </w:r>
      <w:bookmarkEnd w:id="11"/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请鼠标双击该文档，参</w:t>
      </w:r>
      <w:r>
        <w:rPr>
          <w:rFonts w:hint="eastAsia"/>
          <w:lang w:val="en-US" w:eastAsia="zh-CN"/>
        </w:rPr>
        <w:t>照《CA登录操作手册》进行操作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3">
            <o:LockedField>false</o:LockedField>
          </o:OLEObject>
        </w:object>
      </w:r>
    </w:p>
    <w:p>
      <w:pPr>
        <w:pStyle w:val="2"/>
        <w:numPr>
          <w:ilvl w:val="0"/>
          <w:numId w:val="2"/>
        </w:numPr>
        <w:spacing w:before="120" w:after="120"/>
        <w:ind w:firstLine="0"/>
        <w:jc w:val="left"/>
        <w:rPr>
          <w:rFonts w:hint="eastAsia"/>
          <w:sz w:val="44"/>
          <w:szCs w:val="44"/>
          <w:lang w:val="en-US" w:eastAsia="zh-CN"/>
        </w:rPr>
      </w:pPr>
      <w:bookmarkStart w:id="12" w:name="_Toc24563"/>
      <w:r>
        <w:rPr>
          <w:rFonts w:hint="eastAsia"/>
          <w:sz w:val="44"/>
          <w:szCs w:val="44"/>
          <w:lang w:val="en-US" w:eastAsia="zh-CN"/>
        </w:rPr>
        <w:t>投标人远程解密</w:t>
      </w:r>
      <w:bookmarkEnd w:id="12"/>
    </w:p>
    <w:p>
      <w:pPr>
        <w:pStyle w:val="3"/>
        <w:bidi w:val="0"/>
        <w:rPr>
          <w:rFonts w:hint="eastAsia"/>
          <w:lang w:val="en-US" w:eastAsia="zh-CN"/>
        </w:rPr>
      </w:pPr>
      <w:bookmarkStart w:id="13" w:name="_Toc16254"/>
      <w:r>
        <w:rPr>
          <w:rFonts w:hint="eastAsia"/>
          <w:lang w:val="en-US" w:eastAsia="zh-CN"/>
        </w:rPr>
        <w:t>进入开标大厅</w:t>
      </w:r>
      <w:bookmarkEnd w:id="13"/>
    </w:p>
    <w:p>
      <w:pPr>
        <w:numPr>
          <w:ilvl w:val="0"/>
          <w:numId w:val="0"/>
        </w:numPr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投标人在开标前登陆到会员系统，在“我的项目”中找到投标的电子标项目，进入开标大厅有两种方式，二选一均可：</w:t>
      </w:r>
    </w:p>
    <w:p>
      <w:pPr>
        <w:numPr>
          <w:ilvl w:val="0"/>
          <w:numId w:val="0"/>
        </w:numPr>
        <w:ind w:firstLine="301" w:firstLineChars="100"/>
        <w:rPr>
          <w:rFonts w:hint="default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方式一：点击“开标大厅”进入，如图</w:t>
      </w:r>
    </w:p>
    <w:p>
      <w:r>
        <w:drawing>
          <wp:inline distT="0" distB="0" distL="114300" distR="114300">
            <wp:extent cx="5848350" cy="2762250"/>
            <wp:effectExtent l="0" t="0" r="0" b="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01" w:firstLineChars="100"/>
        <w:rPr>
          <w:rFonts w:hint="eastAsia"/>
          <w:b/>
          <w:color w:val="auto"/>
          <w:sz w:val="30"/>
          <w:szCs w:val="30"/>
          <w:lang w:val="en-US" w:eastAsia="zh-CN"/>
        </w:rPr>
      </w:pPr>
      <w:r>
        <w:rPr>
          <w:rFonts w:hint="eastAsia"/>
          <w:b/>
          <w:color w:val="auto"/>
          <w:sz w:val="30"/>
          <w:szCs w:val="30"/>
          <w:lang w:val="en-US" w:eastAsia="zh-CN"/>
        </w:rPr>
        <w:t>方式二：点击“项目流程”-----》“开标签到解密”进入</w:t>
      </w:r>
    </w:p>
    <w:p>
      <w:r>
        <w:drawing>
          <wp:inline distT="0" distB="0" distL="114300" distR="114300">
            <wp:extent cx="5267960" cy="1798320"/>
            <wp:effectExtent l="0" t="0" r="8890" b="1143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226945"/>
            <wp:effectExtent l="0" t="0" r="9525" b="190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color w:val="FF0000"/>
          <w:sz w:val="30"/>
          <w:szCs w:val="30"/>
        </w:rPr>
        <w:t>注：</w:t>
      </w:r>
      <w:r>
        <w:rPr>
          <w:rFonts w:hint="eastAsia"/>
          <w:b/>
          <w:sz w:val="30"/>
          <w:szCs w:val="30"/>
          <w:lang w:eastAsia="zh-CN"/>
        </w:rPr>
        <w:t>若点击后出现以下提示，说明代理公司尚未进入开标系统同步数据，请等待代理操作后再进入。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5420" cy="967740"/>
            <wp:effectExtent l="0" t="0" r="11430" b="381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4" w:name="_Toc9400"/>
      <w:r>
        <w:rPr>
          <w:rFonts w:hint="eastAsia"/>
          <w:lang w:val="en-US" w:eastAsia="zh-CN"/>
        </w:rPr>
        <w:t>远程解密</w:t>
      </w:r>
      <w:bookmarkEnd w:id="14"/>
    </w:p>
    <w:p>
      <w:pPr>
        <w:numPr>
          <w:ilvl w:val="0"/>
          <w:numId w:val="0"/>
        </w:numPr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进入后如下图，达到开标时间且代理同步公布投标单位名单后，页面自动展示解密页面，点击“我要解密”---“解密投标文件”，输入密码，提示“解密成功”，点击确定，完成解密。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2732405"/>
            <wp:effectExtent l="0" t="0" r="6985" b="1079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558415"/>
            <wp:effectExtent l="0" t="0" r="12065" b="1333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663825"/>
            <wp:effectExtent l="0" t="0" r="8255" b="317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893695"/>
            <wp:effectExtent l="0" t="0" r="6350" b="190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sz w:val="30"/>
          <w:szCs w:val="30"/>
          <w:lang w:val="en-US" w:eastAsia="zh-CN"/>
        </w:rPr>
      </w:pPr>
    </w:p>
    <w:p>
      <w:pPr>
        <w:pStyle w:val="2"/>
        <w:numPr>
          <w:ilvl w:val="0"/>
          <w:numId w:val="2"/>
        </w:numPr>
        <w:spacing w:before="120" w:after="120"/>
        <w:ind w:firstLine="0"/>
        <w:jc w:val="left"/>
        <w:rPr>
          <w:rFonts w:hint="eastAsia"/>
          <w:sz w:val="44"/>
          <w:szCs w:val="44"/>
          <w:lang w:val="en-US" w:eastAsia="zh-CN"/>
        </w:rPr>
      </w:pPr>
      <w:bookmarkStart w:id="15" w:name="_Toc2797"/>
      <w:r>
        <w:rPr>
          <w:rFonts w:hint="eastAsia"/>
          <w:sz w:val="44"/>
          <w:szCs w:val="44"/>
          <w:lang w:val="en-US" w:eastAsia="zh-CN"/>
        </w:rPr>
        <w:t>异议提问及签章</w:t>
      </w:r>
      <w:bookmarkEnd w:id="15"/>
    </w:p>
    <w:p>
      <w:pPr>
        <w:pStyle w:val="3"/>
        <w:bidi w:val="0"/>
        <w:rPr>
          <w:rFonts w:hint="eastAsia"/>
          <w:lang w:val="en-US" w:eastAsia="zh-CN"/>
        </w:rPr>
      </w:pPr>
      <w:bookmarkStart w:id="16" w:name="_Toc29267"/>
      <w:r>
        <w:rPr>
          <w:rFonts w:hint="eastAsia"/>
          <w:lang w:val="en-US" w:eastAsia="zh-CN"/>
        </w:rPr>
        <w:t>异议提问</w:t>
      </w:r>
      <w:bookmarkEnd w:id="16"/>
    </w:p>
    <w:p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若对开标过程有异议，可点击“提出异议”在线提问，代理将在线回复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548255"/>
            <wp:effectExtent l="0" t="0" r="4445" b="444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838450" cy="4029075"/>
            <wp:effectExtent l="0" t="0" r="0" b="952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7" w:name="_Toc6910"/>
      <w:r>
        <w:rPr>
          <w:rFonts w:hint="eastAsia"/>
          <w:lang w:val="en-US" w:eastAsia="zh-CN"/>
        </w:rPr>
        <w:t>签章</w:t>
      </w:r>
      <w:bookmarkEnd w:id="17"/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待界面出现“开标记录表”界面，点击“电子签章”，选择合适位置进行签章，点击“提交签章”。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055620"/>
            <wp:effectExtent l="0" t="0" r="10160" b="1143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注：若签章位置有误，可在签章图标上单击右键，选择“撤销签章”撤回签章。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D"/>
    <w:lvl w:ilvl="0" w:tentative="0">
      <w:start w:val="1"/>
      <w:numFmt w:val="chineseCountingThousand"/>
      <w:pStyle w:val="2"/>
      <w:lvlText w:val="%1、"/>
      <w:lvlJc w:val="left"/>
      <w:pPr>
        <w:tabs>
          <w:tab w:val="left" w:pos="425"/>
        </w:tabs>
        <w:ind w:left="425" w:hanging="425"/>
      </w:pPr>
    </w:lvl>
    <w:lvl w:ilvl="1" w:tentative="0">
      <w:start w:val="1"/>
      <w:numFmt w:val="decimal"/>
      <w:pStyle w:val="3"/>
      <w:isLgl/>
      <w:lvlText w:val="%1.%2"/>
      <w:lvlJc w:val="left"/>
      <w:pPr>
        <w:tabs>
          <w:tab w:val="left" w:pos="567"/>
        </w:tabs>
        <w:ind w:left="567" w:hanging="567"/>
      </w:pPr>
      <w:rPr>
        <w:rFonts w:hint="eastAsia" w:ascii="黑体" w:eastAsia="黑体"/>
      </w:rPr>
    </w:lvl>
    <w:lvl w:ilvl="2" w:tentative="0">
      <w:start w:val="1"/>
      <w:numFmt w:val="decimal"/>
      <w:pStyle w:val="4"/>
      <w:isLgl/>
      <w:lvlText w:val="%1.%2.%3"/>
      <w:lvlJc w:val="left"/>
      <w:pPr>
        <w:tabs>
          <w:tab w:val="left" w:pos="1069"/>
        </w:tabs>
        <w:ind w:left="1069" w:hanging="709"/>
      </w:pPr>
      <w:rPr>
        <w:rFonts w:hint="eastAsia" w:ascii="黑体" w:eastAsia="黑体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1080"/>
        </w:tabs>
        <w:ind w:left="851" w:hanging="851"/>
      </w:pPr>
      <w:rPr>
        <w:rFonts w:hint="eastAsia" w:ascii="黑体" w:eastAsia="黑体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440"/>
        </w:tabs>
        <w:ind w:left="992" w:hanging="992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440"/>
        </w:tabs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">
    <w:nsid w:val="35B766C0"/>
    <w:multiLevelType w:val="multilevel"/>
    <w:tmpl w:val="35B766C0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 w:ascii="宋体" w:hAnsi="宋体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C4C21CA"/>
    <w:multiLevelType w:val="multilevel"/>
    <w:tmpl w:val="5C4C21CA"/>
    <w:lvl w:ilvl="0" w:tentative="0">
      <w:start w:val="1"/>
      <w:numFmt w:val="chineseCountingThousand"/>
      <w:lvlText w:val="%1、"/>
      <w:lvlJc w:val="left"/>
      <w:pPr>
        <w:ind w:left="574" w:hanging="432"/>
      </w:pPr>
      <w:rPr>
        <w:rFonts w:hint="eastAsia"/>
        <w:lang w:val="en-US"/>
      </w:rPr>
    </w:lvl>
    <w:lvl w:ilvl="1" w:tentative="0">
      <w:start w:val="1"/>
      <w:numFmt w:val="decimal"/>
      <w:isLgl/>
      <w:lvlText w:val="%1.%2、"/>
      <w:lvlJc w:val="left"/>
      <w:pPr>
        <w:ind w:left="568" w:hanging="284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1287" w:hanging="720"/>
      </w:pPr>
      <w:rPr>
        <w:rFonts w:hint="eastAsia"/>
      </w:rPr>
    </w:lvl>
    <w:lvl w:ilvl="3" w:tentative="0">
      <w:start w:val="1"/>
      <w:numFmt w:val="decimal"/>
      <w:isLgl/>
      <w:lvlText w:val="%1.%2.%3.%4、"/>
      <w:lvlJc w:val="left"/>
      <w:pPr>
        <w:ind w:left="833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1.2.1%9"/>
      <w:lvlJc w:val="left"/>
      <w:pPr>
        <w:ind w:left="1553" w:hanging="1584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A9182A"/>
    <w:rsid w:val="0F6D2474"/>
    <w:rsid w:val="2D202823"/>
    <w:rsid w:val="52EC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360" w:lineRule="auto"/>
      <w:outlineLvl w:val="0"/>
    </w:pPr>
    <w:rPr>
      <w:rFonts w:eastAsia="黑体"/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260" w:after="260" w:line="360" w:lineRule="auto"/>
      <w:outlineLvl w:val="1"/>
    </w:pPr>
    <w:rPr>
      <w:b/>
      <w:bCs/>
      <w:kern w:val="2"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  <w:tab w:val="clear" w:pos="1069"/>
      </w:tabs>
      <w:spacing w:before="260" w:after="260" w:line="360" w:lineRule="auto"/>
      <w:outlineLvl w:val="2"/>
    </w:pPr>
    <w:rPr>
      <w:rFonts w:eastAsia="黑体"/>
      <w:b/>
      <w:bCs/>
      <w:kern w:val="2"/>
      <w:sz w:val="28"/>
      <w:szCs w:val="1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420"/>
      <w:jc w:val="left"/>
    </w:pPr>
    <w:rPr>
      <w:rFonts w:ascii="Calibri" w:hAnsi="Calibri"/>
      <w:iCs/>
      <w:sz w:val="20"/>
      <w:szCs w:val="20"/>
    </w:rPr>
  </w:style>
  <w:style w:type="paragraph" w:styleId="6">
    <w:name w:val="toc 1"/>
    <w:basedOn w:val="1"/>
    <w:next w:val="1"/>
    <w:qFormat/>
    <w:uiPriority w:val="39"/>
    <w:pPr>
      <w:spacing w:before="120" w:beforeLines="0" w:after="120" w:afterLines="0"/>
      <w:jc w:val="left"/>
    </w:pPr>
    <w:rPr>
      <w:rFonts w:ascii="Calibri" w:hAnsi="Calibri"/>
      <w:b/>
      <w:bCs/>
      <w:caps/>
      <w:sz w:val="20"/>
      <w:szCs w:val="20"/>
    </w:rPr>
  </w:style>
  <w:style w:type="paragraph" w:styleId="7">
    <w:name w:val="toc 2"/>
    <w:basedOn w:val="1"/>
    <w:next w:val="1"/>
    <w:qFormat/>
    <w:uiPriority w:val="39"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customStyle="1" w:styleId="10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11">
    <w:name w:val="2"/>
    <w:basedOn w:val="1"/>
    <w:qFormat/>
    <w:uiPriority w:val="0"/>
    <w:pPr>
      <w:autoSpaceDE w:val="0"/>
      <w:autoSpaceDN w:val="0"/>
      <w:adjustRightInd w:val="0"/>
      <w:spacing w:line="360" w:lineRule="auto"/>
      <w:jc w:val="center"/>
    </w:pPr>
    <w:rPr>
      <w:spacing w:val="4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paragraphindent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emf"/><Relationship Id="rId13" Type="http://schemas.openxmlformats.org/officeDocument/2006/relationships/oleObject" Target="embeddings/oleObject1.bin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</dc:creator>
  <cp:lastModifiedBy>NTKO</cp:lastModifiedBy>
  <dcterms:modified xsi:type="dcterms:W3CDTF">2020-06-15T10:26:35Z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